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Pr="00054178" w:rsidRDefault="008B63A4" w:rsidP="008B63A4">
      <w:pPr>
        <w:suppressLineNumbers/>
        <w:spacing w:line="360" w:lineRule="auto"/>
        <w:jc w:val="both"/>
        <w:rPr>
          <w:rtl/>
        </w:rPr>
      </w:pPr>
      <w:bookmarkStart w:id="0" w:name="_GoBack"/>
      <w:bookmarkEnd w:id="0"/>
      <w:r>
        <w:rPr>
          <w:rtl/>
        </w:rPr>
        <w:t xml:space="preserve"> </w:t>
      </w:r>
      <w:r w:rsidR="00054178">
        <w:rPr>
          <w:rtl/>
        </w:rPr>
        <w:t xml:space="preserve"> </w:t>
      </w: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B60905">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r>
              <w:rPr>
                <w:rFonts w:cs="David"/>
                <w:b/>
                <w:bCs/>
                <w:sz w:val="26"/>
                <w:szCs w:val="26"/>
                <w:rtl/>
              </w:rPr>
              <w:t>שופט רון סולקין</w:t>
            </w:r>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r w:rsidR="00B60905">
              <w:rPr>
                <w:rFonts w:cs="David"/>
                <w:b/>
                <w:bCs/>
                <w:sz w:val="26"/>
                <w:szCs w:val="26"/>
                <w:rtl/>
              </w:rPr>
              <w:t>עורר</w:t>
            </w:r>
          </w:p>
        </w:tc>
        <w:tc>
          <w:tcPr>
            <w:tcW w:w="5922" w:type="dxa"/>
            <w:gridSpan w:val="2"/>
          </w:tcPr>
          <w:p w:rsidR="005832BA" w:rsidRDefault="005832BA" w:rsidP="007F46CA">
            <w:pPr>
              <w:jc w:val="left"/>
              <w:rPr>
                <w:rtl/>
              </w:rPr>
            </w:pPr>
          </w:p>
          <w:p w:rsidR="00EB1D9D" w:rsidRDefault="00F30675" w:rsidP="00F814F6">
            <w:pPr>
              <w:jc w:val="left"/>
              <w:rPr>
                <w:rFonts w:cs="David"/>
                <w:b/>
                <w:bCs/>
                <w:sz w:val="26"/>
                <w:szCs w:val="26"/>
                <w:rtl/>
              </w:rPr>
            </w:pPr>
            <w:r>
              <w:rPr>
                <w:rFonts w:hint="cs"/>
                <w:rtl/>
              </w:rPr>
              <w:t xml:space="preserve"> </w:t>
            </w:r>
            <w:r w:rsidR="00F814F6">
              <w:rPr>
                <w:rFonts w:cs="David" w:hint="cs"/>
                <w:b/>
                <w:bCs/>
                <w:sz w:val="26"/>
                <w:szCs w:val="26"/>
                <w:rtl/>
              </w:rPr>
              <w:t>פלוני</w:t>
            </w:r>
            <w:r w:rsidR="0089339C">
              <w:rPr>
                <w:rFonts w:cs="David"/>
                <w:b/>
                <w:bCs/>
                <w:sz w:val="26"/>
                <w:szCs w:val="26"/>
                <w:rtl/>
              </w:rPr>
              <w:t xml:space="preserve"> (עציר)</w:t>
            </w:r>
            <w:r w:rsidR="0089339C">
              <w:rPr>
                <w:rFonts w:cs="David" w:hint="cs"/>
                <w:b/>
                <w:bCs/>
                <w:sz w:val="26"/>
                <w:szCs w:val="26"/>
                <w:rtl/>
              </w:rPr>
              <w:t xml:space="preserve"> </w:t>
            </w:r>
            <w:r w:rsidR="0089339C">
              <w:rPr>
                <w:rFonts w:cs="David"/>
                <w:b/>
                <w:bCs/>
                <w:sz w:val="26"/>
                <w:szCs w:val="26"/>
                <w:rtl/>
              </w:rPr>
              <w:t>ת"ז</w:t>
            </w:r>
            <w:r w:rsidR="0089339C" w:rsidRPr="0089339C">
              <w:rPr>
                <w:rFonts w:cs="David"/>
                <w:b/>
                <w:bCs/>
                <w:sz w:val="26"/>
                <w:szCs w:val="26"/>
                <w:rtl/>
              </w:rPr>
              <w:t xml:space="preserve"> </w:t>
            </w:r>
            <w:r w:rsidR="00F814F6">
              <w:rPr>
                <w:rFonts w:cs="David" w:hint="cs"/>
                <w:b/>
                <w:bCs/>
                <w:sz w:val="26"/>
                <w:szCs w:val="26"/>
              </w:rPr>
              <w:t>XXX</w:t>
            </w:r>
          </w:p>
        </w:tc>
      </w:tr>
      <w:tr w:rsidR="00EB1D9D" w:rsidTr="00C667A1">
        <w:tc>
          <w:tcPr>
            <w:tcW w:w="8802" w:type="dxa"/>
            <w:gridSpan w:val="4"/>
            <w:vAlign w:val="center"/>
          </w:tcPr>
          <w:p w:rsidR="00C667A1" w:rsidRPr="00217B1D"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r w:rsidR="00B60905">
              <w:rPr>
                <w:rFonts w:cs="David"/>
                <w:b/>
                <w:bCs/>
                <w:sz w:val="26"/>
                <w:szCs w:val="26"/>
                <w:rtl/>
              </w:rPr>
              <w:t>משיב</w:t>
            </w:r>
            <w:r w:rsidR="00B60905">
              <w:rPr>
                <w:rFonts w:cs="David" w:hint="cs"/>
                <w:b/>
                <w:bCs/>
                <w:sz w:val="26"/>
                <w:szCs w:val="26"/>
                <w:rtl/>
              </w:rPr>
              <w:t>ה</w:t>
            </w:r>
          </w:p>
        </w:tc>
        <w:tc>
          <w:tcPr>
            <w:tcW w:w="5922" w:type="dxa"/>
            <w:gridSpan w:val="2"/>
          </w:tcPr>
          <w:p w:rsidR="001705B8" w:rsidRDefault="00F30675" w:rsidP="007F46CA">
            <w:pPr>
              <w:jc w:val="left"/>
              <w:rPr>
                <w:rFonts w:cs="David"/>
                <w:b/>
                <w:bCs/>
                <w:sz w:val="26"/>
                <w:szCs w:val="26"/>
                <w:rtl/>
              </w:rPr>
            </w:pPr>
            <w:r>
              <w:rPr>
                <w:rFonts w:hint="cs"/>
                <w:rtl/>
              </w:rPr>
              <w:t xml:space="preserve"> </w:t>
            </w:r>
            <w:r w:rsidR="0089339C">
              <w:rPr>
                <w:rFonts w:cs="David"/>
                <w:b/>
                <w:bCs/>
                <w:sz w:val="26"/>
                <w:szCs w:val="26"/>
                <w:rtl/>
              </w:rPr>
              <w:t>מדינת ישראל</w:t>
            </w:r>
            <w:r w:rsidR="00B870E1">
              <w:rPr>
                <w:rFonts w:hint="cs"/>
                <w:rtl/>
              </w:rPr>
              <w:t xml:space="preserve"> </w:t>
            </w:r>
            <w:r w:rsidR="00340759">
              <w:rPr>
                <w:rFonts w:cs="David"/>
                <w:b/>
                <w:bCs/>
                <w:sz w:val="26"/>
                <w:szCs w:val="26"/>
                <w:rtl/>
              </w:rPr>
              <w:t xml:space="preserve"> </w:t>
            </w:r>
            <w:r w:rsidR="00340759">
              <w:rPr>
                <w:rFonts w:cs="David" w:hint="cs"/>
                <w:b/>
                <w:bCs/>
                <w:sz w:val="26"/>
                <w:szCs w:val="26"/>
                <w:rtl/>
              </w:rPr>
              <w:t xml:space="preserve"> </w:t>
            </w:r>
            <w:r w:rsidR="00217B1D">
              <w:rPr>
                <w:rFonts w:cs="David" w:hint="cs"/>
                <w:b/>
                <w:bCs/>
                <w:sz w:val="26"/>
                <w:szCs w:val="26"/>
                <w:rtl/>
              </w:rPr>
              <w:t xml:space="preserve">- תביעות מרכז </w:t>
            </w:r>
          </w:p>
          <w:p w:rsidR="00EB1D9D" w:rsidRDefault="00EB1D9D" w:rsidP="007F46CA">
            <w:pPr>
              <w:jc w:val="left"/>
              <w:rPr>
                <w:rFonts w:cs="David"/>
                <w:b/>
                <w:bCs/>
                <w:sz w:val="26"/>
                <w:szCs w:val="26"/>
                <w:rtl/>
              </w:rPr>
            </w:pPr>
          </w:p>
        </w:tc>
      </w:tr>
    </w:tbl>
    <w:p w:rsidR="000B7209" w:rsidRDefault="000B7209">
      <w:pPr>
        <w:spacing w:line="360" w:lineRule="auto"/>
        <w:jc w:val="both"/>
        <w:rPr>
          <w:rtl/>
        </w:rPr>
      </w:pPr>
    </w:p>
    <w:p w:rsidR="000B7209" w:rsidRDefault="000B7209">
      <w:pPr>
        <w:spacing w:line="360" w:lineRule="auto"/>
        <w:jc w:val="both"/>
        <w:rPr>
          <w:sz w:val="6"/>
          <w:szCs w:val="6"/>
          <w:rtl/>
        </w:rPr>
      </w:pPr>
      <w:r>
        <w:rPr>
          <w:sz w:val="6"/>
          <w:szCs w:val="6"/>
          <w:rtl/>
        </w:rPr>
        <w:t>&lt;#2#&gt;</w:t>
      </w:r>
    </w:p>
    <w:p w:rsidR="000B7209" w:rsidRDefault="000B7209">
      <w:pPr>
        <w:pStyle w:val="12"/>
        <w:rPr>
          <w:rtl/>
        </w:rPr>
      </w:pPr>
      <w:r>
        <w:rPr>
          <w:rFonts w:hint="cs"/>
          <w:rtl/>
        </w:rPr>
        <w:t>נוכחים:</w:t>
      </w:r>
    </w:p>
    <w:p w:rsidR="000B7209" w:rsidRPr="001E740C" w:rsidRDefault="000B7209" w:rsidP="003B7732">
      <w:pPr>
        <w:pStyle w:val="12"/>
        <w:rPr>
          <w:b w:val="0"/>
          <w:bCs w:val="0"/>
          <w:sz w:val="4"/>
          <w:szCs w:val="4"/>
          <w:u w:val="none"/>
          <w:rtl/>
        </w:rPr>
      </w:pPr>
    </w:p>
    <w:p w:rsidR="000B7209" w:rsidRDefault="00B60905" w:rsidP="003B7732">
      <w:pPr>
        <w:pStyle w:val="12"/>
        <w:rPr>
          <w:b w:val="0"/>
          <w:bCs w:val="0"/>
          <w:u w:val="none"/>
          <w:rtl/>
        </w:rPr>
      </w:pPr>
      <w:r>
        <w:rPr>
          <w:rFonts w:hint="cs"/>
          <w:b w:val="0"/>
          <w:bCs w:val="0"/>
          <w:u w:val="none"/>
          <w:rtl/>
        </w:rPr>
        <w:t xml:space="preserve">ב"כ העורר </w:t>
      </w:r>
      <w:r>
        <w:rPr>
          <w:b w:val="0"/>
          <w:bCs w:val="0"/>
          <w:u w:val="none"/>
          <w:rtl/>
        </w:rPr>
        <w:t>–</w:t>
      </w:r>
      <w:r>
        <w:rPr>
          <w:rFonts w:hint="cs"/>
          <w:b w:val="0"/>
          <w:bCs w:val="0"/>
          <w:u w:val="none"/>
          <w:rtl/>
        </w:rPr>
        <w:t xml:space="preserve"> עו"ד </w:t>
      </w:r>
      <w:r w:rsidR="000B7209">
        <w:rPr>
          <w:b w:val="0"/>
          <w:bCs w:val="0"/>
          <w:u w:val="none"/>
          <w:rtl/>
        </w:rPr>
        <w:t>דרויש</w:t>
      </w:r>
      <w:r w:rsidR="000B7209">
        <w:rPr>
          <w:rFonts w:hint="cs"/>
          <w:b w:val="0"/>
          <w:bCs w:val="0"/>
          <w:u w:val="none"/>
          <w:rtl/>
        </w:rPr>
        <w:t xml:space="preserve"> </w:t>
      </w:r>
      <w:r w:rsidR="000B7209">
        <w:rPr>
          <w:b w:val="0"/>
          <w:bCs w:val="0"/>
          <w:u w:val="none"/>
          <w:rtl/>
        </w:rPr>
        <w:t>נאשף</w:t>
      </w:r>
      <w:r w:rsidR="000B7209">
        <w:rPr>
          <w:rFonts w:hint="cs"/>
          <w:b w:val="0"/>
          <w:bCs w:val="0"/>
          <w:u w:val="none"/>
          <w:rtl/>
        </w:rPr>
        <w:t xml:space="preserve"> </w:t>
      </w:r>
    </w:p>
    <w:p w:rsidR="00B60905" w:rsidRDefault="00B60905" w:rsidP="003B7732">
      <w:pPr>
        <w:pStyle w:val="12"/>
        <w:rPr>
          <w:b w:val="0"/>
          <w:bCs w:val="0"/>
          <w:u w:val="none"/>
          <w:rtl/>
        </w:rPr>
      </w:pPr>
      <w:r>
        <w:rPr>
          <w:rFonts w:hint="cs"/>
          <w:b w:val="0"/>
          <w:bCs w:val="0"/>
          <w:u w:val="none"/>
          <w:rtl/>
        </w:rPr>
        <w:t xml:space="preserve">ב"כ המשיבה </w:t>
      </w:r>
      <w:r>
        <w:rPr>
          <w:b w:val="0"/>
          <w:bCs w:val="0"/>
          <w:u w:val="none"/>
          <w:rtl/>
        </w:rPr>
        <w:t>–</w:t>
      </w:r>
      <w:r>
        <w:rPr>
          <w:rFonts w:hint="cs"/>
          <w:b w:val="0"/>
          <w:bCs w:val="0"/>
          <w:u w:val="none"/>
          <w:rtl/>
        </w:rPr>
        <w:t xml:space="preserve"> עו"ד </w:t>
      </w:r>
      <w:r w:rsidR="008B63A4">
        <w:rPr>
          <w:rFonts w:hint="cs"/>
          <w:b w:val="0"/>
          <w:bCs w:val="0"/>
          <w:u w:val="none"/>
          <w:rtl/>
        </w:rPr>
        <w:t>מור שקים</w:t>
      </w:r>
    </w:p>
    <w:p w:rsidR="00054178" w:rsidRDefault="00054178" w:rsidP="003B7732">
      <w:pPr>
        <w:pStyle w:val="12"/>
        <w:rPr>
          <w:b w:val="0"/>
          <w:bCs w:val="0"/>
          <w:u w:val="none"/>
          <w:rtl/>
        </w:rPr>
      </w:pPr>
      <w:r>
        <w:rPr>
          <w:rFonts w:hint="cs"/>
          <w:b w:val="0"/>
          <w:bCs w:val="0"/>
          <w:u w:val="none"/>
          <w:rtl/>
        </w:rPr>
        <w:t xml:space="preserve">העורר הובא על ידי שב"ס </w:t>
      </w:r>
    </w:p>
    <w:p w:rsidR="00073F40" w:rsidRDefault="00073F40" w:rsidP="00877525">
      <w:pPr>
        <w:spacing w:line="360" w:lineRule="auto"/>
        <w:jc w:val="both"/>
        <w:rPr>
          <w:rtl/>
        </w:rPr>
      </w:pPr>
    </w:p>
    <w:p w:rsidR="003853BA" w:rsidRDefault="003853BA" w:rsidP="00877525">
      <w:pPr>
        <w:spacing w:line="360" w:lineRule="auto"/>
        <w:jc w:val="both"/>
        <w:rPr>
          <w:rtl/>
        </w:rPr>
      </w:pPr>
    </w:p>
    <w:p w:rsidR="003853BA" w:rsidRDefault="003853BA" w:rsidP="00877525">
      <w:pPr>
        <w:spacing w:line="360" w:lineRule="auto"/>
        <w:jc w:val="both"/>
        <w:rPr>
          <w:sz w:val="6"/>
          <w:szCs w:val="6"/>
          <w:rtl/>
        </w:rPr>
      </w:pPr>
      <w:r>
        <w:rPr>
          <w:sz w:val="6"/>
          <w:szCs w:val="6"/>
          <w:rtl/>
        </w:rPr>
        <w:t>&lt;#7#&gt;</w:t>
      </w:r>
    </w:p>
    <w:p w:rsidR="003853BA" w:rsidRDefault="003853BA">
      <w:pPr>
        <w:spacing w:line="360" w:lineRule="auto"/>
        <w:jc w:val="center"/>
        <w:rPr>
          <w:rFonts w:ascii="Arial" w:hAnsi="Arial"/>
          <w:b/>
          <w:bCs/>
          <w:sz w:val="28"/>
          <w:szCs w:val="28"/>
          <w:u w:val="single"/>
          <w:rtl/>
        </w:rPr>
      </w:pPr>
      <w:r>
        <w:rPr>
          <w:rFonts w:ascii="Arial" w:hAnsi="Arial"/>
          <w:b/>
          <w:bCs/>
          <w:sz w:val="28"/>
          <w:szCs w:val="28"/>
          <w:u w:val="single"/>
          <w:rtl/>
        </w:rPr>
        <w:t>החלטה</w:t>
      </w:r>
    </w:p>
    <w:p w:rsidR="003853BA" w:rsidRDefault="003853BA" w:rsidP="00073F40">
      <w:pPr>
        <w:spacing w:line="360" w:lineRule="auto"/>
        <w:jc w:val="both"/>
        <w:rPr>
          <w:rtl/>
        </w:rPr>
      </w:pPr>
    </w:p>
    <w:p w:rsidR="003853BA" w:rsidRDefault="003853BA" w:rsidP="00D040A0">
      <w:pPr>
        <w:spacing w:line="360" w:lineRule="auto"/>
        <w:jc w:val="both"/>
        <w:rPr>
          <w:rtl/>
        </w:rPr>
      </w:pPr>
      <w:r>
        <w:rPr>
          <w:rFonts w:hint="cs"/>
          <w:rtl/>
        </w:rPr>
        <w:t xml:space="preserve">ערר על החלטת בית המשפט השלום לנוער בפתח תקוה, כב' השופטת מורן אדרי-טרבלסי, מיום 18.10.24, בה הורתה על מעצרו של </w:t>
      </w:r>
      <w:r w:rsidR="00D040A0">
        <w:rPr>
          <w:rFonts w:hint="cs"/>
          <w:rtl/>
        </w:rPr>
        <w:t>העורר</w:t>
      </w:r>
      <w:r>
        <w:rPr>
          <w:rFonts w:hint="cs"/>
          <w:rtl/>
        </w:rPr>
        <w:t xml:space="preserve"> עד תום ההליכים המשפטיים.</w:t>
      </w:r>
    </w:p>
    <w:p w:rsidR="003853BA" w:rsidRDefault="003853BA" w:rsidP="003853BA">
      <w:pPr>
        <w:spacing w:line="360" w:lineRule="auto"/>
        <w:jc w:val="both"/>
        <w:rPr>
          <w:rtl/>
        </w:rPr>
      </w:pPr>
    </w:p>
    <w:p w:rsidR="003853BA" w:rsidRDefault="003853BA" w:rsidP="00F814F6">
      <w:pPr>
        <w:spacing w:line="360" w:lineRule="auto"/>
        <w:jc w:val="both"/>
        <w:rPr>
          <w:rtl/>
        </w:rPr>
      </w:pPr>
      <w:r>
        <w:rPr>
          <w:rFonts w:hint="cs"/>
          <w:rtl/>
        </w:rPr>
        <w:t xml:space="preserve">נגד המשיב הוגש כתב אישום, המייחס לו עבירות של שהיה שלא כדין, בניגוד לסעיף 12(1) לחוק הכניסה לישראל </w:t>
      </w:r>
      <w:r>
        <w:rPr>
          <w:rtl/>
        </w:rPr>
        <w:t>–</w:t>
      </w:r>
      <w:r>
        <w:rPr>
          <w:rFonts w:hint="cs"/>
          <w:rtl/>
        </w:rPr>
        <w:t xml:space="preserve"> תשי"ב </w:t>
      </w:r>
      <w:r>
        <w:rPr>
          <w:rtl/>
        </w:rPr>
        <w:t>–</w:t>
      </w:r>
      <w:r>
        <w:rPr>
          <w:rFonts w:hint="cs"/>
          <w:rtl/>
        </w:rPr>
        <w:t xml:space="preserve"> 1952; </w:t>
      </w:r>
      <w:r w:rsidR="00F814F6">
        <w:rPr>
          <w:rFonts w:hint="cs"/>
          <w:rtl/>
        </w:rPr>
        <w:t>ה</w:t>
      </w:r>
      <w:r>
        <w:rPr>
          <w:rFonts w:hint="cs"/>
          <w:rtl/>
        </w:rPr>
        <w:t xml:space="preserve">חזקת מכשירי פריצה, בניגוד לסעיף 409 לחוק העונשין, תשל"ז </w:t>
      </w:r>
      <w:r>
        <w:rPr>
          <w:rtl/>
        </w:rPr>
        <w:t>–</w:t>
      </w:r>
      <w:r>
        <w:rPr>
          <w:rFonts w:hint="cs"/>
          <w:rtl/>
        </w:rPr>
        <w:t xml:space="preserve"> 1977.</w:t>
      </w:r>
    </w:p>
    <w:p w:rsidR="003853BA" w:rsidRDefault="003853BA" w:rsidP="003853BA">
      <w:pPr>
        <w:spacing w:line="360" w:lineRule="auto"/>
        <w:jc w:val="both"/>
        <w:rPr>
          <w:rtl/>
        </w:rPr>
      </w:pPr>
    </w:p>
    <w:p w:rsidR="003853BA" w:rsidRDefault="003853BA" w:rsidP="00D040A0">
      <w:pPr>
        <w:spacing w:line="360" w:lineRule="auto"/>
        <w:jc w:val="both"/>
        <w:rPr>
          <w:rtl/>
        </w:rPr>
      </w:pPr>
      <w:r>
        <w:rPr>
          <w:rFonts w:hint="cs"/>
          <w:rtl/>
        </w:rPr>
        <w:t xml:space="preserve">בהתאם למפורט בכתב האישום, הגיע </w:t>
      </w:r>
      <w:r w:rsidR="00D040A0">
        <w:rPr>
          <w:rFonts w:hint="cs"/>
          <w:rtl/>
        </w:rPr>
        <w:t>העורר</w:t>
      </w:r>
      <w:r>
        <w:rPr>
          <w:rFonts w:hint="cs"/>
          <w:rtl/>
        </w:rPr>
        <w:t>, קטין (כבן 17 שנים)</w:t>
      </w:r>
      <w:r w:rsidR="00464AF9">
        <w:rPr>
          <w:rFonts w:hint="cs"/>
          <w:rtl/>
        </w:rPr>
        <w:t>, תושב טול-</w:t>
      </w:r>
      <w:r>
        <w:rPr>
          <w:rFonts w:hint="cs"/>
          <w:rtl/>
        </w:rPr>
        <w:t>כרם שבאזור השומרון, ביחד עם שניים אחרים, בשעת לילה (01:40), לעיר נתניה, כש</w:t>
      </w:r>
      <w:r w:rsidR="00464AF9">
        <w:rPr>
          <w:rFonts w:hint="cs"/>
          <w:rtl/>
        </w:rPr>
        <w:t>ברשותם תיק, שהכיל 4 מחשבי רכב; מברגים; מפתח צנורות; מחתך ("פלייר"); שני זוגות של כפפות שחורות.</w:t>
      </w:r>
    </w:p>
    <w:p w:rsidR="00464AF9" w:rsidRDefault="00464AF9" w:rsidP="00464AF9">
      <w:pPr>
        <w:spacing w:line="360" w:lineRule="auto"/>
        <w:jc w:val="both"/>
        <w:rPr>
          <w:rtl/>
        </w:rPr>
      </w:pPr>
    </w:p>
    <w:p w:rsidR="00464AF9" w:rsidRDefault="00464AF9" w:rsidP="00464AF9">
      <w:pPr>
        <w:spacing w:line="360" w:lineRule="auto"/>
        <w:jc w:val="both"/>
        <w:rPr>
          <w:rtl/>
        </w:rPr>
      </w:pPr>
      <w:r>
        <w:rPr>
          <w:rFonts w:hint="cs"/>
          <w:rtl/>
        </w:rPr>
        <w:t xml:space="preserve">כשהגיע שוטר משטרת ישראל למקום שהותם </w:t>
      </w:r>
      <w:r>
        <w:rPr>
          <w:rtl/>
        </w:rPr>
        <w:t>–</w:t>
      </w:r>
      <w:r>
        <w:rPr>
          <w:rFonts w:hint="cs"/>
          <w:rtl/>
        </w:rPr>
        <w:t xml:space="preserve"> ברחו המשיב והאחרים מהשוטרים, כשאחד מהמעורבים הניח את התיק בפינת רחוב. המשיב נתפס לאחר מרדף ואילו האחרים </w:t>
      </w:r>
      <w:r>
        <w:rPr>
          <w:rtl/>
        </w:rPr>
        <w:t>–</w:t>
      </w:r>
      <w:r>
        <w:rPr>
          <w:rFonts w:hint="cs"/>
          <w:rtl/>
        </w:rPr>
        <w:t xml:space="preserve"> עלה בידם להימלט. </w:t>
      </w:r>
    </w:p>
    <w:p w:rsidR="00464AF9" w:rsidRDefault="00464AF9" w:rsidP="00464AF9">
      <w:pPr>
        <w:spacing w:line="360" w:lineRule="auto"/>
        <w:jc w:val="both"/>
        <w:rPr>
          <w:rtl/>
        </w:rPr>
      </w:pPr>
    </w:p>
    <w:p w:rsidR="00464AF9" w:rsidRDefault="00464AF9" w:rsidP="00F814F6">
      <w:pPr>
        <w:spacing w:line="360" w:lineRule="auto"/>
        <w:jc w:val="both"/>
        <w:rPr>
          <w:rtl/>
        </w:rPr>
      </w:pPr>
      <w:r>
        <w:rPr>
          <w:rFonts w:hint="cs"/>
          <w:rtl/>
        </w:rPr>
        <w:t xml:space="preserve">ההגנה כפרה בקיומן של ראיות לכאורה, כשעיקר טענתה </w:t>
      </w:r>
      <w:r>
        <w:rPr>
          <w:rtl/>
        </w:rPr>
        <w:t>–</w:t>
      </w:r>
      <w:r>
        <w:rPr>
          <w:rFonts w:hint="cs"/>
          <w:rtl/>
        </w:rPr>
        <w:t xml:space="preserve"> נוגעת לשאלת המחשבה הפלילית. ההגנה אינה כופרת בקיומן של ראיות לכאורה לעובדות המפורטות בכתב האישום; אלא, טענתה </w:t>
      </w:r>
      <w:r>
        <w:rPr>
          <w:rtl/>
        </w:rPr>
        <w:t>–</w:t>
      </w:r>
      <w:r>
        <w:rPr>
          <w:rFonts w:hint="cs"/>
          <w:rtl/>
        </w:rPr>
        <w:t xml:space="preserve"> כי מי </w:t>
      </w:r>
      <w:r>
        <w:rPr>
          <w:rFonts w:hint="cs"/>
          <w:rtl/>
        </w:rPr>
        <w:lastRenderedPageBreak/>
        <w:t xml:space="preserve">מהמעורבים האחרים מסר לעורר את התיק ואין ראיה, כי היה מודע  לתכולתו, כאשר הוא </w:t>
      </w:r>
      <w:r w:rsidR="00F814F6">
        <w:rPr>
          <w:rFonts w:hint="cs"/>
          <w:rtl/>
        </w:rPr>
        <w:t>ה</w:t>
      </w:r>
      <w:r>
        <w:rPr>
          <w:rFonts w:hint="cs"/>
          <w:rtl/>
        </w:rPr>
        <w:t>תבקש רק להחזיק את התיק ולקחת רכב כלשהו למוסך.</w:t>
      </w:r>
    </w:p>
    <w:p w:rsidR="00464AF9" w:rsidRDefault="00464AF9" w:rsidP="00464AF9">
      <w:pPr>
        <w:spacing w:line="360" w:lineRule="auto"/>
        <w:jc w:val="both"/>
        <w:rPr>
          <w:rtl/>
        </w:rPr>
      </w:pPr>
    </w:p>
    <w:p w:rsidR="00464AF9" w:rsidRDefault="00464AF9" w:rsidP="00F814F6">
      <w:pPr>
        <w:spacing w:line="360" w:lineRule="auto"/>
        <w:jc w:val="both"/>
        <w:rPr>
          <w:rtl/>
        </w:rPr>
      </w:pPr>
      <w:r>
        <w:rPr>
          <w:rFonts w:hint="cs"/>
          <w:rtl/>
        </w:rPr>
        <w:t xml:space="preserve">טענות בנוגע לקיומה של מחשבה פלילית </w:t>
      </w:r>
      <w:r>
        <w:rPr>
          <w:rtl/>
        </w:rPr>
        <w:t>–</w:t>
      </w:r>
      <w:r>
        <w:rPr>
          <w:rFonts w:hint="cs"/>
          <w:rtl/>
        </w:rPr>
        <w:t xml:space="preserve"> כרוכות, מעצם טבען, בבחינת מהימנותה של עדות אשר, על פי ההלכה הנוהגת </w:t>
      </w:r>
      <w:r>
        <w:rPr>
          <w:rtl/>
        </w:rPr>
        <w:t>–</w:t>
      </w:r>
      <w:r w:rsidR="00F814F6">
        <w:rPr>
          <w:rFonts w:hint="cs"/>
          <w:rtl/>
        </w:rPr>
        <w:t xml:space="preserve"> אינה ענ</w:t>
      </w:r>
      <w:r>
        <w:rPr>
          <w:rFonts w:hint="cs"/>
          <w:rtl/>
        </w:rPr>
        <w:t xml:space="preserve">ין לבקשות מעצר עד תום ההליכים, אלא מקומה בתיק העיקרי (ראו, בין היתר, בש"פ 3526/13 </w:t>
      </w:r>
      <w:r>
        <w:rPr>
          <w:rFonts w:hint="cs"/>
          <w:b/>
          <w:bCs/>
          <w:rtl/>
        </w:rPr>
        <w:t>כיאל נ' מדינת ישראל</w:t>
      </w:r>
      <w:r>
        <w:rPr>
          <w:rFonts w:hint="cs"/>
          <w:rtl/>
        </w:rPr>
        <w:t xml:space="preserve"> </w:t>
      </w:r>
      <w:r w:rsidR="00D040A0">
        <w:rPr>
          <w:rFonts w:hint="cs"/>
          <w:rtl/>
        </w:rPr>
        <w:t>[</w:t>
      </w:r>
      <w:r>
        <w:rPr>
          <w:rFonts w:hint="cs"/>
          <w:rtl/>
        </w:rPr>
        <w:t>פורסם במאגרים</w:t>
      </w:r>
      <w:r w:rsidR="00D040A0">
        <w:rPr>
          <w:rFonts w:hint="cs"/>
          <w:rtl/>
        </w:rPr>
        <w:t>]</w:t>
      </w:r>
      <w:r>
        <w:rPr>
          <w:rFonts w:hint="cs"/>
          <w:rtl/>
        </w:rPr>
        <w:t xml:space="preserve">). מעבר לנדרש, יצוין, כי </w:t>
      </w:r>
      <w:r w:rsidR="00BE2B7C">
        <w:rPr>
          <w:rFonts w:hint="cs"/>
          <w:rtl/>
        </w:rPr>
        <w:t xml:space="preserve">על פני הדברים (ומבלי לקבוע מסמרות בהליך זה), ניכר, כי </w:t>
      </w:r>
      <w:r>
        <w:rPr>
          <w:rFonts w:hint="cs"/>
          <w:rtl/>
        </w:rPr>
        <w:t xml:space="preserve">גרסתו של העורר </w:t>
      </w:r>
      <w:r w:rsidR="00BE2B7C">
        <w:rPr>
          <w:rFonts w:hint="cs"/>
          <w:rtl/>
        </w:rPr>
        <w:t>אינה אלא גרסת בדים. לטענתו, התבקש</w:t>
      </w:r>
      <w:r w:rsidR="00D040A0">
        <w:rPr>
          <w:rFonts w:hint="cs"/>
          <w:rtl/>
        </w:rPr>
        <w:t>,</w:t>
      </w:r>
      <w:r w:rsidR="00BE2B7C">
        <w:rPr>
          <w:rFonts w:hint="cs"/>
          <w:rtl/>
        </w:rPr>
        <w:t xml:space="preserve"> </w:t>
      </w:r>
      <w:r w:rsidR="00D040A0">
        <w:rPr>
          <w:rFonts w:hint="cs"/>
          <w:rtl/>
        </w:rPr>
        <w:t>באישון</w:t>
      </w:r>
      <w:r w:rsidR="00BE2B7C">
        <w:rPr>
          <w:rFonts w:hint="cs"/>
          <w:rtl/>
        </w:rPr>
        <w:t xml:space="preserve"> לילה, בעיר המרוחקת ממקום מגוריו, שאין לו כל הסבר להימצאותו</w:t>
      </w:r>
      <w:r w:rsidR="00D040A0">
        <w:rPr>
          <w:rFonts w:hint="cs"/>
          <w:rtl/>
        </w:rPr>
        <w:t xml:space="preserve"> בה</w:t>
      </w:r>
      <w:r w:rsidR="00BE2B7C">
        <w:rPr>
          <w:rFonts w:hint="cs"/>
          <w:rtl/>
        </w:rPr>
        <w:t>, על ידי אנשים שאינו מכיר, לאחוז בתיק שאת תוכנו אינו יודע, ולאחר מכן להעביר רכב עלום כלשהו למוסך (איזה מוסך פתוח בשעה 01:40</w:t>
      </w:r>
      <w:r w:rsidR="00D040A0">
        <w:rPr>
          <w:rFonts w:hint="cs"/>
          <w:rtl/>
        </w:rPr>
        <w:t>...</w:t>
      </w:r>
      <w:r w:rsidR="00BE2B7C">
        <w:rPr>
          <w:rFonts w:hint="cs"/>
          <w:rtl/>
        </w:rPr>
        <w:t>). יתר על כן, גרסתו אף אינה תואמת את הראיות שנ</w:t>
      </w:r>
      <w:r w:rsidR="00F814F6">
        <w:rPr>
          <w:rFonts w:hint="cs"/>
          <w:rtl/>
        </w:rPr>
        <w:t>א</w:t>
      </w:r>
      <w:r w:rsidR="00BE2B7C">
        <w:rPr>
          <w:rFonts w:hint="cs"/>
          <w:rtl/>
        </w:rPr>
        <w:t>ספו על ידי היחידה החוקרת, מהן עולה, כי העורר נצפה, הן על ידי אזרחים (ראו הודעת המודיע</w:t>
      </w:r>
      <w:r w:rsidR="00D040A0">
        <w:rPr>
          <w:rFonts w:hint="cs"/>
          <w:rtl/>
        </w:rPr>
        <w:t>, מספר הודעה 115487843</w:t>
      </w:r>
      <w:r w:rsidR="00BE2B7C">
        <w:rPr>
          <w:rFonts w:hint="cs"/>
          <w:rtl/>
        </w:rPr>
        <w:t xml:space="preserve">) והן על ידי איש משטרה (ראו דוח פעולה 115488041), ביחד עם אחרים, כאשר כולם לובשים שחור; נעים ברחובות </w:t>
      </w:r>
      <w:r w:rsidR="00D040A0">
        <w:rPr>
          <w:rFonts w:hint="cs"/>
          <w:rtl/>
        </w:rPr>
        <w:t xml:space="preserve">בשכונת </w:t>
      </w:r>
      <w:r w:rsidR="00BE2B7C">
        <w:rPr>
          <w:rFonts w:hint="cs"/>
          <w:rtl/>
        </w:rPr>
        <w:t>מגורים בעיר נתניה; מ</w:t>
      </w:r>
      <w:r w:rsidR="00F814F6">
        <w:rPr>
          <w:rFonts w:hint="cs"/>
          <w:rtl/>
        </w:rPr>
        <w:t>א</w:t>
      </w:r>
      <w:r w:rsidR="00BE2B7C">
        <w:rPr>
          <w:rFonts w:hint="cs"/>
          <w:rtl/>
        </w:rPr>
        <w:t>ירים בפנסים לעבר מכוניות. הראיות, אם כן, מצביעות על קשר בין העורר לבין המעורבים הנוספים, שנמלטו מהמקום. אותן ראיות</w:t>
      </w:r>
      <w:r w:rsidR="00D040A0">
        <w:rPr>
          <w:rFonts w:hint="cs"/>
          <w:rtl/>
        </w:rPr>
        <w:t>,</w:t>
      </w:r>
      <w:r w:rsidR="00BE2B7C">
        <w:rPr>
          <w:rFonts w:hint="cs"/>
          <w:rtl/>
        </w:rPr>
        <w:t xml:space="preserve"> ביחד עם תכולת התיק</w:t>
      </w:r>
      <w:r w:rsidR="00D040A0">
        <w:rPr>
          <w:rFonts w:hint="cs"/>
          <w:rtl/>
        </w:rPr>
        <w:t xml:space="preserve"> (ניתן להתרשם ממנה תוך עיון בתמונה המצויה בתיק החקירה)</w:t>
      </w:r>
      <w:r w:rsidR="00BE2B7C">
        <w:rPr>
          <w:rFonts w:hint="cs"/>
          <w:rtl/>
        </w:rPr>
        <w:t xml:space="preserve"> </w:t>
      </w:r>
      <w:r w:rsidR="00BE2B7C">
        <w:rPr>
          <w:rtl/>
        </w:rPr>
        <w:t>–</w:t>
      </w:r>
      <w:r w:rsidR="00BE2B7C">
        <w:rPr>
          <w:rFonts w:hint="cs"/>
          <w:rtl/>
        </w:rPr>
        <w:t xml:space="preserve"> אינן מותירות מקום למסקנה אחרת</w:t>
      </w:r>
      <w:r w:rsidR="00D040A0">
        <w:rPr>
          <w:rFonts w:hint="cs"/>
          <w:rtl/>
        </w:rPr>
        <w:t>,</w:t>
      </w:r>
      <w:r w:rsidR="00BE2B7C">
        <w:rPr>
          <w:rFonts w:hint="cs"/>
          <w:rtl/>
        </w:rPr>
        <w:t xml:space="preserve"> זולת, כי העורר והאחרים הגיעו למקום על מנת לגנוב כ</w:t>
      </w:r>
      <w:r w:rsidR="00F814F6">
        <w:rPr>
          <w:rFonts w:hint="cs"/>
          <w:rtl/>
        </w:rPr>
        <w:t>ְּ</w:t>
      </w:r>
      <w:r w:rsidR="00BE2B7C">
        <w:rPr>
          <w:rFonts w:hint="cs"/>
          <w:rtl/>
        </w:rPr>
        <w:t>ל</w:t>
      </w:r>
      <w:r w:rsidR="00F814F6">
        <w:rPr>
          <w:rFonts w:hint="cs"/>
          <w:rtl/>
        </w:rPr>
        <w:t>ֵ</w:t>
      </w:r>
      <w:r w:rsidR="00BE2B7C">
        <w:rPr>
          <w:rFonts w:hint="cs"/>
          <w:rtl/>
        </w:rPr>
        <w:t>י רכב.</w:t>
      </w:r>
    </w:p>
    <w:p w:rsidR="00BE2B7C" w:rsidRDefault="00BE2B7C" w:rsidP="00BE2B7C">
      <w:pPr>
        <w:spacing w:line="360" w:lineRule="auto"/>
        <w:jc w:val="both"/>
        <w:rPr>
          <w:rtl/>
        </w:rPr>
      </w:pPr>
    </w:p>
    <w:p w:rsidR="006645C0" w:rsidRDefault="00BE2B7C" w:rsidP="00F814F6">
      <w:pPr>
        <w:spacing w:line="360" w:lineRule="auto"/>
        <w:jc w:val="both"/>
        <w:rPr>
          <w:rtl/>
        </w:rPr>
      </w:pPr>
      <w:r>
        <w:rPr>
          <w:rFonts w:hint="cs"/>
          <w:rtl/>
        </w:rPr>
        <w:t xml:space="preserve">אמנם, הועמד העורר לדין בגין עבירה של אחזקת מכשירי פריצה (כאן המקום לציין, כי </w:t>
      </w:r>
      <w:r w:rsidR="00D040A0">
        <w:rPr>
          <w:rFonts w:hint="cs"/>
          <w:rtl/>
        </w:rPr>
        <w:t xml:space="preserve">ככל הנראה </w:t>
      </w:r>
      <w:r w:rsidR="006645C0">
        <w:rPr>
          <w:rFonts w:hint="cs"/>
          <w:rtl/>
        </w:rPr>
        <w:t xml:space="preserve">טעתה התביעה המשטרתית בסעיף </w:t>
      </w:r>
      <w:r w:rsidR="00D040A0">
        <w:rPr>
          <w:rFonts w:hint="cs"/>
          <w:rtl/>
        </w:rPr>
        <w:t>החיקוק (להבדיל מהגדרת העבירה)</w:t>
      </w:r>
      <w:r w:rsidR="006645C0">
        <w:rPr>
          <w:rFonts w:hint="cs"/>
          <w:rtl/>
        </w:rPr>
        <w:t xml:space="preserve">, אשר מתייחס למכשירי פריצה לבית מגורים, וככל הנראה הכוונה היא לעבירה בניגוד לסעיף 413ז </w:t>
      </w:r>
      <w:r w:rsidR="006645C0">
        <w:rPr>
          <w:rtl/>
        </w:rPr>
        <w:t>–</w:t>
      </w:r>
      <w:r w:rsidR="006645C0">
        <w:rPr>
          <w:rFonts w:hint="cs"/>
          <w:rtl/>
        </w:rPr>
        <w:t xml:space="preserve"> מי מהצדדים רשאי לפעול כראות עיניו בענין זה). פעמים רבות, המדובר בעבירה שהיא נלוו</w:t>
      </w:r>
      <w:r w:rsidR="00F814F6">
        <w:rPr>
          <w:rFonts w:hint="cs"/>
          <w:rtl/>
        </w:rPr>
        <w:t>ית</w:t>
      </w:r>
      <w:r w:rsidR="006645C0">
        <w:rPr>
          <w:rFonts w:hint="cs"/>
          <w:rtl/>
        </w:rPr>
        <w:t xml:space="preserve"> לעבירות אחרות, חמורות יותר. ברם, בנסיבות המקרה דנן, המדובר בעבירה ברף חומרה גבוה ביותר </w:t>
      </w:r>
      <w:r w:rsidR="00D040A0">
        <w:rPr>
          <w:rFonts w:hint="cs"/>
          <w:rtl/>
        </w:rPr>
        <w:t>מהמצוי</w:t>
      </w:r>
      <w:r w:rsidR="006645C0">
        <w:rPr>
          <w:rFonts w:hint="cs"/>
          <w:rtl/>
        </w:rPr>
        <w:t xml:space="preserve"> בעבירה זו.  הבדל ניכר </w:t>
      </w:r>
      <w:r w:rsidR="00D040A0">
        <w:rPr>
          <w:rFonts w:hint="cs"/>
          <w:rtl/>
        </w:rPr>
        <w:t>קיים</w:t>
      </w:r>
      <w:r w:rsidR="006645C0">
        <w:rPr>
          <w:rFonts w:hint="cs"/>
          <w:rtl/>
        </w:rPr>
        <w:t xml:space="preserve"> בין מקרה בו מחזיק אדם מוט ברזל (</w:t>
      </w:r>
      <w:r w:rsidR="00D040A0">
        <w:rPr>
          <w:rFonts w:hint="cs"/>
          <w:rtl/>
        </w:rPr>
        <w:t>"</w:t>
      </w:r>
      <w:r w:rsidR="006645C0">
        <w:rPr>
          <w:rFonts w:hint="cs"/>
          <w:rtl/>
        </w:rPr>
        <w:t>לום</w:t>
      </w:r>
      <w:r w:rsidR="00D040A0">
        <w:rPr>
          <w:rFonts w:hint="cs"/>
          <w:rtl/>
        </w:rPr>
        <w:t>"</w:t>
      </w:r>
      <w:r w:rsidR="006645C0">
        <w:rPr>
          <w:rFonts w:hint="cs"/>
          <w:rtl/>
        </w:rPr>
        <w:t>), או מברג</w:t>
      </w:r>
      <w:r w:rsidR="00D040A0">
        <w:rPr>
          <w:rFonts w:hint="cs"/>
          <w:rtl/>
        </w:rPr>
        <w:t>,</w:t>
      </w:r>
      <w:r w:rsidR="006645C0">
        <w:rPr>
          <w:rFonts w:hint="cs"/>
          <w:rtl/>
        </w:rPr>
        <w:t xml:space="preserve"> לבין </w:t>
      </w:r>
      <w:r w:rsidR="00F814F6">
        <w:rPr>
          <w:rFonts w:hint="cs"/>
          <w:rtl/>
        </w:rPr>
        <w:t>ה</w:t>
      </w:r>
      <w:r w:rsidR="006645C0">
        <w:rPr>
          <w:rFonts w:hint="cs"/>
          <w:rtl/>
        </w:rPr>
        <w:t xml:space="preserve">חזקה של לא פחות מארבעה מחשבי רכב </w:t>
      </w:r>
      <w:r w:rsidR="00073F40">
        <w:rPr>
          <w:rFonts w:hint="cs"/>
          <w:rtl/>
        </w:rPr>
        <w:t>בליווי</w:t>
      </w:r>
      <w:r w:rsidR="006645C0">
        <w:rPr>
          <w:rFonts w:hint="cs"/>
          <w:rtl/>
        </w:rPr>
        <w:t xml:space="preserve"> כלי עבודה וכפפות. מחשבי רכב אינם בגדר טובין העוברים לסוחר ואינם </w:t>
      </w:r>
      <w:r w:rsidR="00D040A0">
        <w:rPr>
          <w:rFonts w:hint="cs"/>
          <w:rtl/>
        </w:rPr>
        <w:t>מתגלגלים ברחובה של עיר</w:t>
      </w:r>
      <w:r w:rsidR="006645C0">
        <w:rPr>
          <w:rFonts w:hint="cs"/>
          <w:rtl/>
        </w:rPr>
        <w:t xml:space="preserve">. על אחת כמה וכמה כאשר מדובר בארבעה מחשבים שונים. </w:t>
      </w:r>
      <w:r w:rsidR="00F814F6">
        <w:rPr>
          <w:rFonts w:hint="cs"/>
          <w:rtl/>
        </w:rPr>
        <w:t>ה</w:t>
      </w:r>
      <w:r w:rsidR="006645C0">
        <w:rPr>
          <w:rFonts w:hint="cs"/>
          <w:rtl/>
        </w:rPr>
        <w:t xml:space="preserve">חזקתם, בצוותא, על ידי חבורה, שלפחות אחד מחבריה הגיע מרחוק </w:t>
      </w:r>
      <w:r w:rsidR="006645C0">
        <w:rPr>
          <w:rtl/>
        </w:rPr>
        <w:t>–</w:t>
      </w:r>
      <w:r w:rsidR="006645C0">
        <w:rPr>
          <w:rFonts w:hint="cs"/>
          <w:rtl/>
        </w:rPr>
        <w:t xml:space="preserve"> מלמדת על קיומה של התארגנות עבריינית וכן על תכנון ותחכום. בנסיבות המתוארות </w:t>
      </w:r>
      <w:r w:rsidR="006645C0">
        <w:rPr>
          <w:rtl/>
        </w:rPr>
        <w:t>–</w:t>
      </w:r>
      <w:r w:rsidR="006645C0">
        <w:rPr>
          <w:rFonts w:hint="cs"/>
          <w:rtl/>
        </w:rPr>
        <w:t xml:space="preserve"> המדובר בעבירה המקימה עילת מעצר, של מסוכנות </w:t>
      </w:r>
      <w:r w:rsidR="00F814F6">
        <w:rPr>
          <w:rFonts w:hint="cs"/>
          <w:rtl/>
        </w:rPr>
        <w:t>ל</w:t>
      </w:r>
      <w:r w:rsidR="006645C0">
        <w:rPr>
          <w:rFonts w:hint="cs"/>
          <w:rtl/>
        </w:rPr>
        <w:t>שלום הציבור.</w:t>
      </w:r>
    </w:p>
    <w:p w:rsidR="006645C0" w:rsidRDefault="006645C0" w:rsidP="006645C0">
      <w:pPr>
        <w:spacing w:line="360" w:lineRule="auto"/>
        <w:jc w:val="both"/>
        <w:rPr>
          <w:rtl/>
        </w:rPr>
      </w:pPr>
    </w:p>
    <w:p w:rsidR="00964703" w:rsidRDefault="006645C0" w:rsidP="00F814F6">
      <w:pPr>
        <w:spacing w:line="360" w:lineRule="auto"/>
        <w:jc w:val="both"/>
        <w:rPr>
          <w:rtl/>
        </w:rPr>
      </w:pPr>
      <w:r>
        <w:rPr>
          <w:rFonts w:hint="cs"/>
          <w:rtl/>
        </w:rPr>
        <w:t xml:space="preserve">לעילה זו מצטרפת עילת מעצר נוספת, </w:t>
      </w:r>
      <w:r w:rsidR="00F814F6">
        <w:rPr>
          <w:rFonts w:hint="cs"/>
          <w:rtl/>
        </w:rPr>
        <w:t>ב</w:t>
      </w:r>
      <w:r>
        <w:rPr>
          <w:rFonts w:hint="cs"/>
          <w:rtl/>
        </w:rPr>
        <w:t xml:space="preserve">היות העורר תושב אזור יהודה ושומרון, אשר </w:t>
      </w:r>
      <w:r w:rsidR="00073F40">
        <w:rPr>
          <w:rFonts w:hint="cs"/>
          <w:rtl/>
        </w:rPr>
        <w:t xml:space="preserve">נתפס שוהה שלא כדין. </w:t>
      </w:r>
      <w:r w:rsidR="00D040A0">
        <w:rPr>
          <w:rFonts w:hint="cs"/>
          <w:rtl/>
        </w:rPr>
        <w:t xml:space="preserve">בכל הנוגע לעילה זו, נקבע, בפסקת בית המשפט העליון, כי היא מתעצמת כאשר המדובר בשהיה בלתי חוקית במטרה לעבור עבירות נוספות. </w:t>
      </w:r>
      <w:r w:rsidR="00964703" w:rsidRPr="00964703">
        <w:rPr>
          <w:rtl/>
        </w:rPr>
        <w:t xml:space="preserve">בבש"פ 6781/13 </w:t>
      </w:r>
      <w:r w:rsidR="00964703" w:rsidRPr="00964703">
        <w:rPr>
          <w:b/>
          <w:bCs/>
          <w:rtl/>
        </w:rPr>
        <w:t>קונדוס נ' מדינת ישראל</w:t>
      </w:r>
      <w:r w:rsidR="00964703" w:rsidRPr="00964703">
        <w:rPr>
          <w:rtl/>
        </w:rPr>
        <w:t xml:space="preserve"> ( פורסם במאגרים - </w:t>
      </w:r>
      <w:r w:rsidR="00964703">
        <w:rPr>
          <w:rFonts w:hint="cs"/>
          <w:rtl/>
        </w:rPr>
        <w:t>2013</w:t>
      </w:r>
      <w:r w:rsidR="00964703" w:rsidRPr="00964703">
        <w:rPr>
          <w:rtl/>
        </w:rPr>
        <w:t xml:space="preserve">), </w:t>
      </w:r>
      <w:r w:rsidR="00964703">
        <w:rPr>
          <w:rFonts w:hint="cs"/>
          <w:rtl/>
        </w:rPr>
        <w:t>קבע בית המשפט העליון</w:t>
      </w:r>
      <w:r w:rsidR="00964703" w:rsidRPr="00964703">
        <w:rPr>
          <w:rtl/>
        </w:rPr>
        <w:t xml:space="preserve">: </w:t>
      </w:r>
    </w:p>
    <w:p w:rsidR="00964703" w:rsidRDefault="00964703" w:rsidP="00964703">
      <w:pPr>
        <w:spacing w:line="360" w:lineRule="auto"/>
        <w:jc w:val="both"/>
        <w:rPr>
          <w:rtl/>
        </w:rPr>
      </w:pPr>
    </w:p>
    <w:p w:rsidR="00964703" w:rsidRPr="00964703" w:rsidRDefault="00964703" w:rsidP="00964703">
      <w:pPr>
        <w:spacing w:line="360" w:lineRule="auto"/>
        <w:jc w:val="both"/>
        <w:rPr>
          <w:rFonts w:ascii="Aharoni" w:hAnsi="Aharoni" w:cs="Aharoni"/>
        </w:rPr>
      </w:pPr>
      <w:r w:rsidRPr="00964703">
        <w:rPr>
          <w:rFonts w:ascii="Aharoni" w:hAnsi="Aharoni" w:cs="Aharoni"/>
          <w:rtl/>
        </w:rPr>
        <w:t>"... הקושי בשחרור לחלופת מעצר יסודו בחשש כי הנאשם לא יתייצב לדיון בעניינו, ויחמוק ממשפט בהתחשב בכך שרשויות אכיפת החוק של ישראל אינן פועלות בשטחי הרשות הפלסטינית וממילא קשה להם יותר להתחקות אחר נאשם שנמצא בשטח זה...</w:t>
      </w:r>
    </w:p>
    <w:p w:rsidR="00964703" w:rsidRPr="00964703" w:rsidRDefault="00964703" w:rsidP="00964703">
      <w:pPr>
        <w:spacing w:line="360" w:lineRule="auto"/>
        <w:jc w:val="both"/>
        <w:rPr>
          <w:rFonts w:ascii="Aharoni" w:hAnsi="Aharoni" w:cs="Aharoni"/>
        </w:rPr>
      </w:pPr>
    </w:p>
    <w:p w:rsidR="00964703" w:rsidRPr="00964703" w:rsidRDefault="00964703" w:rsidP="00964703">
      <w:pPr>
        <w:spacing w:line="360" w:lineRule="auto"/>
        <w:jc w:val="both"/>
        <w:rPr>
          <w:rFonts w:ascii="Aharoni" w:hAnsi="Aharoni" w:cs="Aharoni"/>
        </w:rPr>
      </w:pPr>
      <w:r w:rsidRPr="00964703">
        <w:rPr>
          <w:rFonts w:ascii="Aharoni" w:hAnsi="Aharoni" w:cs="Aharoni"/>
          <w:rtl/>
        </w:rPr>
        <w:t>מקום שקיימות עבירות נוספות, שאלת ההתחמקות מן הדין אינה עומדת לבדה ולרוב יש לבחון גם את מסוכנותו של הנאשם, אם יפר את תנאי השחרור שעל קיומם אין במערכת האכיפה בישראל דרך לפקח באזור...".</w:t>
      </w:r>
    </w:p>
    <w:p w:rsidR="006645C0" w:rsidRPr="00964703" w:rsidRDefault="006645C0" w:rsidP="00073F40">
      <w:pPr>
        <w:spacing w:line="360" w:lineRule="auto"/>
        <w:jc w:val="both"/>
        <w:rPr>
          <w:rtl/>
        </w:rPr>
      </w:pPr>
    </w:p>
    <w:p w:rsidR="00073F40" w:rsidRDefault="00633C9D" w:rsidP="00073F40">
      <w:pPr>
        <w:spacing w:line="360" w:lineRule="auto"/>
        <w:jc w:val="both"/>
        <w:rPr>
          <w:rtl/>
        </w:rPr>
      </w:pPr>
      <w:r>
        <w:rPr>
          <w:rFonts w:hint="cs"/>
          <w:rtl/>
        </w:rPr>
        <w:t>אכן, קיימים מקרים בהם</w:t>
      </w:r>
      <w:r w:rsidR="00073F40">
        <w:rPr>
          <w:rFonts w:hint="cs"/>
          <w:rtl/>
        </w:rPr>
        <w:t xml:space="preserve"> עילות מעצר אלה ניתנות להפגה באמצעות חלופת מעצר מתאימה. זאת, ב</w:t>
      </w:r>
      <w:r w:rsidR="00964703">
        <w:rPr>
          <w:rFonts w:hint="cs"/>
          <w:rtl/>
        </w:rPr>
        <w:t>י</w:t>
      </w:r>
      <w:r w:rsidR="00073F40">
        <w:rPr>
          <w:rFonts w:hint="cs"/>
          <w:rtl/>
        </w:rPr>
        <w:t>יחוד כאשר מדובר בעורר שטרם מלאו לו 18 שנים ומצוות המח</w:t>
      </w:r>
      <w:r w:rsidR="00F814F6">
        <w:rPr>
          <w:rFonts w:hint="cs"/>
          <w:rtl/>
        </w:rPr>
        <w:t>וקק בענ</w:t>
      </w:r>
      <w:r w:rsidR="00073F40">
        <w:rPr>
          <w:rFonts w:hint="cs"/>
          <w:rtl/>
        </w:rPr>
        <w:t>ינו, היא</w:t>
      </w:r>
      <w:r w:rsidR="00F814F6">
        <w:rPr>
          <w:rFonts w:hint="cs"/>
          <w:rtl/>
        </w:rPr>
        <w:t>,</w:t>
      </w:r>
      <w:r w:rsidR="00073F40">
        <w:rPr>
          <w:rFonts w:hint="cs"/>
          <w:rtl/>
        </w:rPr>
        <w:t xml:space="preserve"> כי המעצר הוא האמצעי האחרון. אך </w:t>
      </w:r>
      <w:r w:rsidR="00964703">
        <w:rPr>
          <w:rFonts w:hint="cs"/>
          <w:rtl/>
        </w:rPr>
        <w:t xml:space="preserve">קטינות אינה חסינות. </w:t>
      </w:r>
      <w:r w:rsidR="00073F40">
        <w:rPr>
          <w:rFonts w:hint="cs"/>
          <w:rtl/>
        </w:rPr>
        <w:t xml:space="preserve">במקרה דנן, כאשר המדובר, לכאורה, בהתארגנות עבריינית; בהצטיידות במכשירים מתוחכמים; בנחישות, תוך הגעה מאזור יהודה ושומרון לליבה של עיר מגורים, באישון לילה; כל זאת בתוספת היעדר היתר השהיה </w:t>
      </w:r>
      <w:r w:rsidR="00073F40">
        <w:rPr>
          <w:rtl/>
        </w:rPr>
        <w:t>–</w:t>
      </w:r>
      <w:r w:rsidR="00073F40">
        <w:rPr>
          <w:rFonts w:hint="cs"/>
          <w:rtl/>
        </w:rPr>
        <w:t xml:space="preserve"> ובהינתן המצב הבטחוני הקשה בו נתונה כעת מדינת ישראל, הנלחמת על חייה בשבע חזיתות שונות, כאשר כלל גורמי האכיפה והבטחון מתוחים עד קצה גבולם </w:t>
      </w:r>
      <w:r w:rsidR="00073F40">
        <w:rPr>
          <w:rtl/>
        </w:rPr>
        <w:t>–</w:t>
      </w:r>
      <w:r w:rsidR="00073F40">
        <w:rPr>
          <w:rFonts w:hint="cs"/>
          <w:rtl/>
        </w:rPr>
        <w:t xml:space="preserve"> אין בית המשפט מוצא, כי נפלה טעות בהחלטת בית משפט קמא, דבר דבור על אופניו</w:t>
      </w:r>
      <w:r w:rsidR="00964703">
        <w:rPr>
          <w:rFonts w:hint="cs"/>
          <w:rtl/>
        </w:rPr>
        <w:t>,</w:t>
      </w:r>
      <w:r w:rsidR="00073F40">
        <w:rPr>
          <w:rFonts w:hint="cs"/>
          <w:rtl/>
        </w:rPr>
        <w:t xml:space="preserve"> אשר הורה על מעצרו של העורר עד תום ההליכים.</w:t>
      </w:r>
    </w:p>
    <w:p w:rsidR="00073F40" w:rsidRDefault="00073F40" w:rsidP="00073F40">
      <w:pPr>
        <w:spacing w:line="360" w:lineRule="auto"/>
        <w:jc w:val="both"/>
        <w:rPr>
          <w:rtl/>
        </w:rPr>
      </w:pPr>
    </w:p>
    <w:p w:rsidR="00073F40" w:rsidRDefault="00073F40" w:rsidP="00073F40">
      <w:pPr>
        <w:spacing w:line="360" w:lineRule="auto"/>
        <w:jc w:val="both"/>
        <w:rPr>
          <w:rtl/>
        </w:rPr>
      </w:pPr>
      <w:r>
        <w:rPr>
          <w:rFonts w:hint="cs"/>
          <w:rtl/>
        </w:rPr>
        <w:t>בית משפט קמא נתן משקל לכלל השיקולים, לרבות גילו של העורר ואיזן נכונה בין השיקולים, בהינתן הנסיבות המתוארות</w:t>
      </w:r>
      <w:r w:rsidR="00964703">
        <w:rPr>
          <w:rFonts w:hint="cs"/>
          <w:rtl/>
        </w:rPr>
        <w:t>, התשתית הראייתית</w:t>
      </w:r>
      <w:r>
        <w:rPr>
          <w:rFonts w:hint="cs"/>
          <w:rtl/>
        </w:rPr>
        <w:t xml:space="preserve"> והמצב הבטחוני. </w:t>
      </w:r>
    </w:p>
    <w:p w:rsidR="00073F40" w:rsidRDefault="00073F40" w:rsidP="00073F40">
      <w:pPr>
        <w:spacing w:line="360" w:lineRule="auto"/>
        <w:jc w:val="both"/>
        <w:rPr>
          <w:rtl/>
        </w:rPr>
      </w:pPr>
    </w:p>
    <w:p w:rsidR="00073F40" w:rsidRDefault="00073F40" w:rsidP="00073F40">
      <w:pPr>
        <w:spacing w:line="360" w:lineRule="auto"/>
        <w:jc w:val="both"/>
        <w:rPr>
          <w:rtl/>
        </w:rPr>
      </w:pPr>
      <w:r>
        <w:rPr>
          <w:rFonts w:hint="cs"/>
          <w:rtl/>
        </w:rPr>
        <w:t xml:space="preserve">מכל המקובץ </w:t>
      </w:r>
      <w:r>
        <w:rPr>
          <w:rtl/>
        </w:rPr>
        <w:t>–</w:t>
      </w:r>
      <w:r>
        <w:rPr>
          <w:rFonts w:hint="cs"/>
          <w:rtl/>
        </w:rPr>
        <w:t xml:space="preserve"> דוחה בית המשפט את הערר. </w:t>
      </w:r>
    </w:p>
    <w:p w:rsidR="00964703" w:rsidRDefault="00964703" w:rsidP="00073F40">
      <w:pPr>
        <w:spacing w:line="360" w:lineRule="auto"/>
        <w:jc w:val="both"/>
        <w:rPr>
          <w:rtl/>
        </w:rPr>
      </w:pPr>
    </w:p>
    <w:p w:rsidR="00964703" w:rsidRDefault="00964703" w:rsidP="00073F40">
      <w:pPr>
        <w:spacing w:line="360" w:lineRule="auto"/>
        <w:jc w:val="both"/>
        <w:rPr>
          <w:rtl/>
        </w:rPr>
      </w:pPr>
      <w:r>
        <w:rPr>
          <w:rFonts w:hint="cs"/>
          <w:rtl/>
        </w:rPr>
        <w:t xml:space="preserve">חומר החקירה מוחזר לתביעה. </w:t>
      </w:r>
    </w:p>
    <w:p w:rsidR="00073F40" w:rsidRDefault="00073F40" w:rsidP="00073F40">
      <w:pPr>
        <w:spacing w:line="360" w:lineRule="auto"/>
        <w:jc w:val="both"/>
        <w:rPr>
          <w:rtl/>
        </w:rPr>
      </w:pPr>
    </w:p>
    <w:p w:rsidR="00073F40" w:rsidRDefault="00073F40" w:rsidP="00073F40">
      <w:pPr>
        <w:spacing w:line="360" w:lineRule="auto"/>
        <w:jc w:val="both"/>
        <w:rPr>
          <w:sz w:val="6"/>
          <w:szCs w:val="6"/>
          <w:rtl/>
        </w:rPr>
      </w:pPr>
      <w:r>
        <w:rPr>
          <w:sz w:val="6"/>
          <w:szCs w:val="6"/>
          <w:rtl/>
        </w:rPr>
        <w:t>&lt;#8#&gt;</w:t>
      </w:r>
    </w:p>
    <w:p w:rsidR="00073F40" w:rsidRDefault="00073F40" w:rsidP="003B08F6">
      <w:pPr>
        <w:rPr>
          <w:rtl/>
        </w:rPr>
      </w:pPr>
    </w:p>
    <w:p w:rsidR="00073F40" w:rsidRDefault="00073F40"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 תשרי תשפ"ה</w:t>
          </w:r>
        </w:sdtContent>
      </w:sdt>
      <w:r>
        <w:rPr>
          <w:rFonts w:hint="cs"/>
          <w:b/>
          <w:bCs/>
          <w:rtl/>
        </w:rPr>
        <w:t xml:space="preserve">, </w:t>
      </w:r>
      <w:sdt>
        <w:sdtPr>
          <w:rPr>
            <w:rtl/>
          </w:rPr>
          <w:alias w:val="2206"/>
          <w:tag w:val="2206"/>
          <w:id w:val="-1474593809"/>
          <w:text w:multiLine="1"/>
        </w:sdtPr>
        <w:sdtEndPr/>
        <w:sdtContent>
          <w:r>
            <w:rPr>
              <w:b/>
              <w:bCs/>
            </w:rPr>
            <w:t>22/10/2024</w:t>
          </w:r>
        </w:sdtContent>
      </w:sdt>
      <w:r>
        <w:rPr>
          <w:rFonts w:hint="cs"/>
          <w:b/>
          <w:bCs/>
          <w:rtl/>
        </w:rPr>
        <w:t xml:space="preserve"> במעמד הנוכחים.</w:t>
      </w:r>
    </w:p>
    <w:p w:rsidR="00073F40" w:rsidRDefault="00073F40"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73F40" w:rsidTr="00CB46FB">
        <w:trPr>
          <w:trHeight w:val="316"/>
          <w:jc w:val="right"/>
        </w:trPr>
        <w:tc>
          <w:tcPr>
            <w:tcW w:w="3936" w:type="dxa"/>
            <w:vAlign w:val="center"/>
          </w:tcPr>
          <w:p w:rsidR="00073F40" w:rsidRDefault="0043504E" w:rsidP="00CB46FB">
            <w:pPr>
              <w:jc w:val="center"/>
            </w:pPr>
            <w:sdt>
              <w:sdtPr>
                <w:rPr>
                  <w:rtl/>
                </w:rPr>
                <w:alias w:val="MergeField"/>
                <w:tag w:val="2144"/>
                <w:id w:val="-2094071201"/>
              </w:sdtPr>
              <w:sdtEndPr/>
              <w:sdtContent>
                <w:r w:rsidR="00073F40">
                  <w:rPr>
                    <w:noProof/>
                  </w:rPr>
                  <w:drawing>
                    <wp:inline distT="0" distB="0" distL="0" distR="0" wp14:editId="50D07946">
                      <wp:extent cx="200025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2000250" cy="723900"/>
                              </a:xfrm>
                              <a:prstGeom prst="rect">
                                <a:avLst/>
                              </a:prstGeom>
                            </pic:spPr>
                          </pic:pic>
                        </a:graphicData>
                      </a:graphic>
                    </wp:inline>
                  </w:drawing>
                </w:r>
              </w:sdtContent>
            </w:sdt>
          </w:p>
          <w:p w:rsidR="00073F40" w:rsidRDefault="00073F40" w:rsidP="00CB46FB">
            <w:pPr>
              <w:jc w:val="center"/>
              <w:rPr>
                <w:rtl/>
              </w:rPr>
            </w:pPr>
          </w:p>
        </w:tc>
      </w:tr>
      <w:tr w:rsidR="00073F40" w:rsidTr="00CB46FB">
        <w:trPr>
          <w:trHeight w:val="361"/>
          <w:jc w:val="right"/>
        </w:trPr>
        <w:tc>
          <w:tcPr>
            <w:tcW w:w="3936" w:type="dxa"/>
            <w:vAlign w:val="center"/>
          </w:tcPr>
          <w:p w:rsidR="00073F40" w:rsidRPr="00C02017" w:rsidRDefault="0043504E" w:rsidP="00CB46FB">
            <w:pPr>
              <w:jc w:val="center"/>
              <w:rPr>
                <w:rFonts w:cs="David"/>
                <w:b/>
                <w:bCs/>
                <w:rtl/>
              </w:rPr>
            </w:pPr>
            <w:sdt>
              <w:sdtPr>
                <w:rPr>
                  <w:b/>
                  <w:bCs/>
                  <w:rtl/>
                </w:rPr>
                <w:alias w:val="2141"/>
                <w:tag w:val="2141"/>
                <w:id w:val="2119712613"/>
                <w:placeholder>
                  <w:docPart w:val="66612D13AA1A47D9B90B356633B1E668"/>
                </w:placeholder>
                <w:text w:multiLine="1"/>
              </w:sdtPr>
              <w:sdtEndPr/>
              <w:sdtContent>
                <w:r w:rsidR="00073F40">
                  <w:rPr>
                    <w:rFonts w:cs="David"/>
                    <w:b/>
                    <w:bCs/>
                    <w:rtl/>
                  </w:rPr>
                  <w:t>רון</w:t>
                </w:r>
              </w:sdtContent>
            </w:sdt>
            <w:r w:rsidR="00073F40" w:rsidRPr="00C02017">
              <w:rPr>
                <w:rFonts w:cs="David" w:hint="cs"/>
                <w:b/>
                <w:bCs/>
                <w:rtl/>
              </w:rPr>
              <w:t xml:space="preserve"> </w:t>
            </w:r>
            <w:sdt>
              <w:sdtPr>
                <w:rPr>
                  <w:rFonts w:hint="cs"/>
                  <w:b/>
                  <w:bCs/>
                  <w:rtl/>
                </w:rPr>
                <w:alias w:val="2142"/>
                <w:tag w:val="2142"/>
                <w:id w:val="-26639521"/>
                <w:placeholder>
                  <w:docPart w:val="827DE963678D44CAA8E2FB5D8B2E6AB0"/>
                </w:placeholder>
                <w:text w:multiLine="1"/>
              </w:sdtPr>
              <w:sdtEndPr/>
              <w:sdtContent>
                <w:r w:rsidR="00073F40">
                  <w:rPr>
                    <w:rFonts w:cs="David"/>
                    <w:b/>
                    <w:bCs/>
                    <w:rtl/>
                  </w:rPr>
                  <w:t>סולקין</w:t>
                </w:r>
              </w:sdtContent>
            </w:sdt>
            <w:r w:rsidR="00073F40" w:rsidRPr="00C02017">
              <w:rPr>
                <w:rFonts w:cs="David" w:hint="cs"/>
                <w:b/>
                <w:bCs/>
                <w:rtl/>
              </w:rPr>
              <w:t xml:space="preserve">, </w:t>
            </w:r>
            <w:sdt>
              <w:sdtPr>
                <w:rPr>
                  <w:rFonts w:hint="cs"/>
                  <w:b/>
                  <w:bCs/>
                  <w:rtl/>
                </w:rPr>
                <w:alias w:val="2143"/>
                <w:tag w:val="2143"/>
                <w:id w:val="1647695366"/>
                <w:placeholder>
                  <w:docPart w:val="319697A1A655499B94D885A4B363889E"/>
                </w:placeholder>
                <w:text w:multiLine="1"/>
              </w:sdtPr>
              <w:sdtEndPr/>
              <w:sdtContent>
                <w:r w:rsidR="00073F40">
                  <w:rPr>
                    <w:rFonts w:cs="David"/>
                    <w:b/>
                    <w:bCs/>
                    <w:rtl/>
                  </w:rPr>
                  <w:t>שופט</w:t>
                </w:r>
              </w:sdtContent>
            </w:sdt>
          </w:p>
        </w:tc>
      </w:tr>
    </w:tbl>
    <w:p w:rsidR="00073F40" w:rsidRDefault="00073F40" w:rsidP="003B08F6">
      <w:pPr>
        <w:rPr>
          <w:rtl/>
        </w:rPr>
      </w:pPr>
    </w:p>
    <w:p w:rsidR="00073F40" w:rsidRDefault="00073F40" w:rsidP="003B08F6">
      <w:pPr>
        <w:rPr>
          <w:rtl/>
        </w:rPr>
      </w:pPr>
    </w:p>
    <w:p w:rsidR="00073F40" w:rsidRDefault="00073F40" w:rsidP="00073F40">
      <w:pPr>
        <w:spacing w:line="360" w:lineRule="auto"/>
        <w:jc w:val="center"/>
        <w:rPr>
          <w:rtl/>
        </w:rPr>
      </w:pPr>
    </w:p>
    <w:p w:rsidR="00143321" w:rsidRDefault="00073F40" w:rsidP="00F814F6">
      <w:pPr>
        <w:spacing w:line="360" w:lineRule="auto"/>
        <w:jc w:val="both"/>
      </w:pPr>
      <w:r>
        <w:rPr>
          <w:rtl/>
        </w:rPr>
        <w:t xml:space="preserve"> </w:t>
      </w:r>
    </w:p>
    <w:sectPr w:rsidR="00143321" w:rsidSect="008B63A4">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04E" w:rsidRDefault="0043504E">
      <w:r>
        <w:separator/>
      </w:r>
    </w:p>
  </w:endnote>
  <w:endnote w:type="continuationSeparator" w:id="0">
    <w:p w:rsidR="0043504E" w:rsidRDefault="0043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209" w:rsidRDefault="000B7209" w:rsidP="00FE33C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0B7209" w:rsidRDefault="000B720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209" w:rsidRDefault="000B7209" w:rsidP="00FE33C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6D3348">
      <w:rPr>
        <w:rStyle w:val="a9"/>
        <w:noProof/>
        <w:rtl/>
      </w:rPr>
      <w:t>1</w:t>
    </w:r>
    <w:r>
      <w:rPr>
        <w:rStyle w:val="a9"/>
        <w:rtl/>
      </w:rPr>
      <w:fldChar w:fldCharType="end"/>
    </w:r>
  </w:p>
  <w:p w:rsidR="000B7209" w:rsidRDefault="000B7209">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703" w:rsidRDefault="009647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04E" w:rsidRDefault="0043504E">
      <w:r>
        <w:separator/>
      </w:r>
    </w:p>
  </w:footnote>
  <w:footnote w:type="continuationSeparator" w:id="0">
    <w:p w:rsidR="0043504E" w:rsidRDefault="0043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703" w:rsidRDefault="009647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6"/>
      <w:gridCol w:w="236"/>
      <w:gridCol w:w="205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43504E" w:rsidP="00F814F6">
          <w:pPr>
            <w:rPr>
              <w:b/>
              <w:bCs/>
              <w:sz w:val="26"/>
              <w:szCs w:val="26"/>
              <w:rtl/>
            </w:rPr>
          </w:pPr>
          <w:sdt>
            <w:sdtPr>
              <w:rPr>
                <w:rtl/>
              </w:rPr>
              <w:alias w:val="849"/>
              <w:tag w:val="849"/>
              <w:id w:val="-1617746001"/>
              <w:text w:multiLine="1"/>
            </w:sdtPr>
            <w:sdtEndPr/>
            <w:sdtContent>
              <w:r w:rsidR="0089339C">
                <w:rPr>
                  <w:b/>
                  <w:bCs/>
                  <w:sz w:val="26"/>
                  <w:szCs w:val="26"/>
                  <w:rtl/>
                </w:rPr>
                <w:t>עמ"ת</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37127-10-24</w:t>
              </w:r>
            </w:sdtContent>
          </w:sdt>
          <w:r w:rsidR="00E679BB">
            <w:rPr>
              <w:rFonts w:hint="cs"/>
              <w:b/>
              <w:bCs/>
              <w:sz w:val="26"/>
              <w:szCs w:val="26"/>
              <w:rtl/>
            </w:rPr>
            <w:t xml:space="preserve"> </w:t>
          </w:r>
          <w:sdt>
            <w:sdtPr>
              <w:rPr>
                <w:rtl/>
              </w:rPr>
              <w:alias w:val="293"/>
              <w:tag w:val="293"/>
              <w:id w:val="60302884"/>
              <w:text w:multiLine="1"/>
            </w:sdtPr>
            <w:sdtEndPr/>
            <w:sdtContent>
              <w:r w:rsidR="00F814F6">
                <w:rPr>
                  <w:rFonts w:hint="cs"/>
                  <w:b/>
                  <w:bCs/>
                  <w:sz w:val="26"/>
                  <w:szCs w:val="26"/>
                  <w:rtl/>
                </w:rPr>
                <w:t>פלוני</w:t>
              </w:r>
              <w:r w:rsidR="0089339C">
                <w:rPr>
                  <w:b/>
                  <w:bCs/>
                  <w:sz w:val="26"/>
                  <w:szCs w:val="26"/>
                  <w:rtl/>
                </w:rPr>
                <w:t>(עציר) נ' מדינת ישראל</w:t>
              </w:r>
            </w:sdtContent>
          </w:sdt>
        </w:p>
        <w:p w:rsidR="001D656D" w:rsidRDefault="001D656D">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22 אוקטובר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703" w:rsidRDefault="009647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7127-10-24"/>
    <w:docVar w:name="caseId" w:val="82052711"/>
    <w:docVar w:name="deriveClass" w:val="NGCS.Protocol.BL.Client.ProtocolBLClientCriminal"/>
    <w:docVar w:name="firstPageNumber" w:val="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5094958"/>
    <w:docVar w:name="releaseSign" w:val="0"/>
    <w:docVar w:name="sittingDateTime" w:val="22/10/2024 10:30     "/>
    <w:docVar w:name="sittingId" w:val="98749855"/>
    <w:docVar w:name="sittingTypeId" w:val="2"/>
    <w:docVar w:name="WordClientAssemblyName" w:val="NGCS.Protocol.BL.Client"/>
    <w:docVar w:name="WordClientClassName" w:val="NGCS.Templates.UIP.TemplateWordClient"/>
  </w:docVars>
  <w:rsids>
    <w:rsidRoot w:val="00EB1D9D"/>
    <w:rsid w:val="00002919"/>
    <w:rsid w:val="0000736A"/>
    <w:rsid w:val="00014D29"/>
    <w:rsid w:val="00014F26"/>
    <w:rsid w:val="00016C3B"/>
    <w:rsid w:val="00030486"/>
    <w:rsid w:val="000309E2"/>
    <w:rsid w:val="00032A68"/>
    <w:rsid w:val="00034699"/>
    <w:rsid w:val="00053909"/>
    <w:rsid w:val="00054178"/>
    <w:rsid w:val="000555F0"/>
    <w:rsid w:val="000608AB"/>
    <w:rsid w:val="00073F40"/>
    <w:rsid w:val="00074BD2"/>
    <w:rsid w:val="000A4C4B"/>
    <w:rsid w:val="000B7209"/>
    <w:rsid w:val="000C3D5F"/>
    <w:rsid w:val="000C7499"/>
    <w:rsid w:val="000E37CD"/>
    <w:rsid w:val="00100FD9"/>
    <w:rsid w:val="00115104"/>
    <w:rsid w:val="00130DA3"/>
    <w:rsid w:val="00131385"/>
    <w:rsid w:val="00137D59"/>
    <w:rsid w:val="00143321"/>
    <w:rsid w:val="0014434E"/>
    <w:rsid w:val="001526FC"/>
    <w:rsid w:val="0016231B"/>
    <w:rsid w:val="00163279"/>
    <w:rsid w:val="001666D0"/>
    <w:rsid w:val="001705B8"/>
    <w:rsid w:val="00174C6C"/>
    <w:rsid w:val="00180246"/>
    <w:rsid w:val="001A63A4"/>
    <w:rsid w:val="001D656D"/>
    <w:rsid w:val="001E6DFB"/>
    <w:rsid w:val="002063A6"/>
    <w:rsid w:val="00217B1D"/>
    <w:rsid w:val="00227A15"/>
    <w:rsid w:val="00237F64"/>
    <w:rsid w:val="00245547"/>
    <w:rsid w:val="002736EA"/>
    <w:rsid w:val="00296868"/>
    <w:rsid w:val="002A1C94"/>
    <w:rsid w:val="002E24EE"/>
    <w:rsid w:val="002F455E"/>
    <w:rsid w:val="002F5A82"/>
    <w:rsid w:val="00301481"/>
    <w:rsid w:val="003018B1"/>
    <w:rsid w:val="00310806"/>
    <w:rsid w:val="00340759"/>
    <w:rsid w:val="0034100C"/>
    <w:rsid w:val="00342D84"/>
    <w:rsid w:val="00347ACF"/>
    <w:rsid w:val="003853BA"/>
    <w:rsid w:val="00390A4D"/>
    <w:rsid w:val="003F6EFC"/>
    <w:rsid w:val="0043504E"/>
    <w:rsid w:val="00440118"/>
    <w:rsid w:val="00442655"/>
    <w:rsid w:val="00445270"/>
    <w:rsid w:val="004473FE"/>
    <w:rsid w:val="0046177B"/>
    <w:rsid w:val="00464AF9"/>
    <w:rsid w:val="004752AF"/>
    <w:rsid w:val="004821D1"/>
    <w:rsid w:val="00486DEE"/>
    <w:rsid w:val="00494C2F"/>
    <w:rsid w:val="004C0CA7"/>
    <w:rsid w:val="004D4B57"/>
    <w:rsid w:val="004F4B4A"/>
    <w:rsid w:val="00503959"/>
    <w:rsid w:val="00510083"/>
    <w:rsid w:val="00516D7F"/>
    <w:rsid w:val="00532A9F"/>
    <w:rsid w:val="00551705"/>
    <w:rsid w:val="00560CB1"/>
    <w:rsid w:val="00561CE8"/>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3C9D"/>
    <w:rsid w:val="00635C8E"/>
    <w:rsid w:val="006424C7"/>
    <w:rsid w:val="006645C0"/>
    <w:rsid w:val="006830E7"/>
    <w:rsid w:val="006A4D3D"/>
    <w:rsid w:val="006B639D"/>
    <w:rsid w:val="006C2240"/>
    <w:rsid w:val="006D3348"/>
    <w:rsid w:val="006D72D1"/>
    <w:rsid w:val="006E3A90"/>
    <w:rsid w:val="006F0E02"/>
    <w:rsid w:val="00700409"/>
    <w:rsid w:val="00701199"/>
    <w:rsid w:val="007378AE"/>
    <w:rsid w:val="007378FE"/>
    <w:rsid w:val="00770F7C"/>
    <w:rsid w:val="00781736"/>
    <w:rsid w:val="00791EB6"/>
    <w:rsid w:val="007953AC"/>
    <w:rsid w:val="007B6499"/>
    <w:rsid w:val="007C0D02"/>
    <w:rsid w:val="007D4DDF"/>
    <w:rsid w:val="007D573C"/>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77525"/>
    <w:rsid w:val="0088033E"/>
    <w:rsid w:val="0088228B"/>
    <w:rsid w:val="0089339C"/>
    <w:rsid w:val="008B5819"/>
    <w:rsid w:val="008B63A4"/>
    <w:rsid w:val="008D15AB"/>
    <w:rsid w:val="008D7896"/>
    <w:rsid w:val="008E7204"/>
    <w:rsid w:val="00927BB3"/>
    <w:rsid w:val="00934BA1"/>
    <w:rsid w:val="0094049A"/>
    <w:rsid w:val="0094092B"/>
    <w:rsid w:val="00943E5D"/>
    <w:rsid w:val="009474AF"/>
    <w:rsid w:val="009521C7"/>
    <w:rsid w:val="00952F9F"/>
    <w:rsid w:val="00960E66"/>
    <w:rsid w:val="00964703"/>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319D0"/>
    <w:rsid w:val="00B44123"/>
    <w:rsid w:val="00B60905"/>
    <w:rsid w:val="00B6568E"/>
    <w:rsid w:val="00B66459"/>
    <w:rsid w:val="00B82C03"/>
    <w:rsid w:val="00B870E1"/>
    <w:rsid w:val="00B96F12"/>
    <w:rsid w:val="00BA3141"/>
    <w:rsid w:val="00BD13A0"/>
    <w:rsid w:val="00BE2B7C"/>
    <w:rsid w:val="00BF00B0"/>
    <w:rsid w:val="00C4595F"/>
    <w:rsid w:val="00C471D1"/>
    <w:rsid w:val="00C50277"/>
    <w:rsid w:val="00C518EA"/>
    <w:rsid w:val="00C52796"/>
    <w:rsid w:val="00C667A1"/>
    <w:rsid w:val="00C8613B"/>
    <w:rsid w:val="00CA022A"/>
    <w:rsid w:val="00CA26CF"/>
    <w:rsid w:val="00CB6B34"/>
    <w:rsid w:val="00D040A0"/>
    <w:rsid w:val="00D0615F"/>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14F6"/>
    <w:rsid w:val="00F861D3"/>
    <w:rsid w:val="00F91F7D"/>
    <w:rsid w:val="00F941D7"/>
    <w:rsid w:val="00FA1629"/>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0B7209"/>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0B7209"/>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3236879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6612D13AA1A47D9B90B356633B1E668"/>
        <w:category>
          <w:name w:val="כללי"/>
          <w:gallery w:val="placeholder"/>
        </w:category>
        <w:types>
          <w:type w:val="bbPlcHdr"/>
        </w:types>
        <w:behaviors>
          <w:behavior w:val="content"/>
        </w:behaviors>
        <w:guid w:val="{92B9D576-63A7-4766-9482-03E5D9572DDE}"/>
      </w:docPartPr>
      <w:docPartBody>
        <w:p w:rsidR="006106D4" w:rsidRDefault="001B0A9C" w:rsidP="001B0A9C">
          <w:pPr>
            <w:pStyle w:val="66612D13AA1A47D9B90B356633B1E668"/>
          </w:pPr>
          <w:r w:rsidRPr="002A7028">
            <w:rPr>
              <w:rFonts w:cs="David"/>
              <w:b/>
              <w:bCs/>
              <w:rtl/>
            </w:rPr>
            <w:t>שם פרטי חותם</w:t>
          </w:r>
        </w:p>
      </w:docPartBody>
    </w:docPart>
    <w:docPart>
      <w:docPartPr>
        <w:name w:val="827DE963678D44CAA8E2FB5D8B2E6AB0"/>
        <w:category>
          <w:name w:val="כללי"/>
          <w:gallery w:val="placeholder"/>
        </w:category>
        <w:types>
          <w:type w:val="bbPlcHdr"/>
        </w:types>
        <w:behaviors>
          <w:behavior w:val="content"/>
        </w:behaviors>
        <w:guid w:val="{87AA1F38-EEFF-4253-9550-3D7E1EF601C2}"/>
      </w:docPartPr>
      <w:docPartBody>
        <w:p w:rsidR="006106D4" w:rsidRDefault="001B0A9C" w:rsidP="001B0A9C">
          <w:pPr>
            <w:pStyle w:val="827DE963678D44CAA8E2FB5D8B2E6AB0"/>
          </w:pPr>
          <w:r w:rsidRPr="002A7028">
            <w:rPr>
              <w:rFonts w:cs="David"/>
              <w:b/>
              <w:bCs/>
              <w:rtl/>
            </w:rPr>
            <w:t>שם משפחה חותם</w:t>
          </w:r>
        </w:p>
      </w:docPartBody>
    </w:docPart>
    <w:docPart>
      <w:docPartPr>
        <w:name w:val="319697A1A655499B94D885A4B363889E"/>
        <w:category>
          <w:name w:val="כללי"/>
          <w:gallery w:val="placeholder"/>
        </w:category>
        <w:types>
          <w:type w:val="bbPlcHdr"/>
        </w:types>
        <w:behaviors>
          <w:behavior w:val="content"/>
        </w:behaviors>
        <w:guid w:val="{CDC37FDA-B514-4954-A285-4D2B20A60770}"/>
      </w:docPartPr>
      <w:docPartBody>
        <w:p w:rsidR="006106D4" w:rsidRDefault="001B0A9C" w:rsidP="001B0A9C">
          <w:pPr>
            <w:pStyle w:val="319697A1A655499B94D885A4B363889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A9C"/>
    <w:rsid w:val="001B0A9C"/>
    <w:rsid w:val="00371B53"/>
    <w:rsid w:val="006106D4"/>
    <w:rsid w:val="00980B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6612D13AA1A47D9B90B356633B1E668">
    <w:name w:val="66612D13AA1A47D9B90B356633B1E668"/>
    <w:rsid w:val="001B0A9C"/>
    <w:pPr>
      <w:bidi/>
    </w:pPr>
  </w:style>
  <w:style w:type="paragraph" w:customStyle="1" w:styleId="827DE963678D44CAA8E2FB5D8B2E6AB0">
    <w:name w:val="827DE963678D44CAA8E2FB5D8B2E6AB0"/>
    <w:rsid w:val="001B0A9C"/>
    <w:pPr>
      <w:bidi/>
    </w:pPr>
  </w:style>
  <w:style w:type="paragraph" w:customStyle="1" w:styleId="319697A1A655499B94D885A4B363889E">
    <w:name w:val="319697A1A655499B94D885A4B363889E"/>
    <w:rsid w:val="001B0A9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ewDataSet/>
</file>

<file path=customXml/item2.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3.xml><?xml version="1.0" encoding="utf-8"?>
<MeetingDS>
  <dt_Meeting>
    <MeetingID>90141575</MeetingID>
    <MeetingDate>2024-10-22T00:00:00+03:00</MeetingDate>
    <StartTime>10:30     </StartTime>
    <FinishTime>11:00     </FinishTime>
    <AllDayEvent>false</AllDayEvent>
    <Label>0</Label>
    <ShowTimeAs>0</ShowTimeAs>
    <Remark/>
    <MeetingTypeID>1</MeetingTypeID>
    <UserID>319195384@GOV.IL</UserID>
    <ChangeDate>2024-10-20T13:29:00.767+03:00</ChangeDate>
    <MeetingMode>1</MeetingMode>
    <IsVCMeeting>false</IsVCMeeting>
  </dt_Meeting>
  <dt_MeetingUser>
    <MeetingID>90141575</MeetingID>
    <UserID>025491861@GOV.IL</UserID>
    <ExchangeGUID>0640e604-c22e-4312-94e1-478dd7193cee.eml</ExchangeGUID>
    <OrdinalNumberID>0</OrdinalNumberID>
  </dt_MeetingUser>
  <dt_Sitting>
    <SittingID>98749855</SittingID>
    <MeetingID>90141575</MeetingID>
    <SittingTypeID>53</SittingTypeID>
    <CourtID>896</CourtID>
    <ActivatingMethodID>2</ActivatingMethodID>
    <SittingActivityStatusID>1</SittingActivityStatusID>
    <ChangeDate>2024-10-20T13:29:00.783+03:00</ChangeDate>
    <UserID>319195384@GOV.IL</UserID>
    <StartTime>10:30     </StartTime>
    <FinishTime>11:00     </FinishTime>
    <Remark/>
    <OrdinalNumber>0</OrdinalNumber>
    <RemarkSittingType/>
    <ProtocolSubjectID>0</ProtocolSubjectID>
    <CourtDisplayName>בית המשפט המחוזי מרכז-לוד</CourtDisplayName>
    <IsProtocolFirst>1</IsProtocolFirst>
    <IsProtocolNotFirst>false</IsProtocolNotFirst>
    <ReadingDate/>
    <ReadingTime/>
    <AccusedAnswerDate/>
    <AccusedAnswerTime/>
    <ProofDate/>
    <ProofTime/>
    <CourtAddress>שדרות הציונות 3 לוד</CourtAddress>
    <IsTitleCaseExists>0</IsTitleCaseExists>
    <ProtocolSubject/>
    <CaseTypeID>10081</CaseTypeID>
  </dt_Sitting>
  <dt_SittingCase>
    <SittingCaseID>100276489</SittingCaseID>
    <SittingID>98749855</SittingID>
    <CaseID>82052711</CaseID>
    <CaseDisplayIdentifier>37127-10-24</CaseDisplayIdentifier>
    <CaseName>דמירי(עציר) נ' מדינת ישראל</CaseName>
    <CaseTypeDesc>עמ"ת</CaseTypeDesc>
    <CaseLinkType>-1</CaseLinkType>
  </dt_SittingCase>
  <dt_MeetingUserHistory>
    <MeetingUserHistoryID>2246830</MeetingUserHistoryID>
    <MeetingID>90141575</MeetingID>
    <UserID>025491861@GOV.IL</UserID>
    <MeetingUserActionTypeID>1</MeetingUserActionTypeID>
    <ActionDate>2024-10-20T13:29:00.783+03:00</ActionDate>
  </dt_MeetingUserHistory>
  <dt_Case>
    <CaseName>דמירי(עציר) נ' מדינת ישראל</CaseName>
  </dt_Case>
  <dt_CasePartyA>
    <CasePartyID>278870752</CasePartyID>
    <GroupPartyAlias>עוררים</GroupPartyAlias>
    <PartyAliasID>16</PartyAliasID>
    <OrdinalNumber/>
    <FullName>בראא דמירי (עציר)</FullName>
    <FullNameAndRoleName>בראא דמירי (עציר)</FullNameAndRoleName>
    <FirstName>בראא</FirstName>
    <LastName>דמירי</LastName>
    <RoleName>עורר 1</RoleName>
    <TypeIdentifier>ת"ז</TypeIdentifier>
    <AuthenticationNumber>423800200</AuthenticationNumber>
    <CasePartyTypeID>1</CasePartyTypeID>
    <IsPublicationProhibited>false</IsPublicationProhibited>
  </dt_CasePartyA>
  <dt_CasePartyB>
    <CasePartyID>278869212</CasePartyID>
    <GroupPartyAlias>משיבים</GroupPartyAlias>
    <PartyAliasID>4</PartyAliasID>
    <OrdinalNumber/>
    <FullName>מדינת ישראל</FullName>
    <FullNameAndRoleName>מדינת ישראל</FullNameAndRoleName>
    <FirstName/>
    <LastName>מדינת ישראל</LastName>
    <RoleName>משיב 1</RoleName>
    <TypeIdentifier/>
    <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73463538</ExternalCaseID>
    <ExternalCaseNumber>418696/2024</ExternalCaseNumber>
    <ExternalCaseTypeID>29</ExternalCaseTypeID>
    <ExternalCaseType>מספר פל"א</ExternalCaseType>
  </dt_ExternalCase>
</MeetingDS>
</file>

<file path=customXml/item4.xml><?xml version="1.0" encoding="utf-8"?>
<AttendeesDS>
  <dt_Attendees>
    <CaseID>82052711</CaseID>
    <SittingID>98749855</SittingID>
    <Type/>
    <CaseOrMotionPartyID>278869213</CaseOrMotionPartyID>
    <LegalEntityID>407457</LegalEntityID>
    <PartyTypeID>2</PartyTypeID>
    <AppointmentDate>2024-10-22T00:00:00+03:00</AppointmentDate>
    <FullName>דרויש נאשף</FullName>
    <FirstName>דרויש</FirstName>
    <LastName>נאשף</LastName>
    <OrdinalNumber>1</OrdinalNumber>
    <RoleName>בא כוח עוררים</RoleName>
    <ClassificationTypeName/>
    <PartyTypeForTemplateID>1</PartyTypeForTemplateID>
    <IsPresent>true</IsPresent>
    <RepresentatedOrRepresentativesNames>בראא דמירי</RepresentatedOrRepresentativesNames>
    <TrueFalseString>לא</TrueFalseString>
  </dt_Attendees>
</AttendeesDS>
</file>

<file path=customXml/itemProps1.xml><?xml version="1.0" encoding="utf-8"?>
<ds:datastoreItem xmlns:ds="http://schemas.openxmlformats.org/officeDocument/2006/customXml" ds:itemID="{689AC699-4256-44FB-943F-59338315A454}">
  <ds:schemaRefs/>
</ds:datastoreItem>
</file>

<file path=customXml/itemProps2.xml><?xml version="1.0" encoding="utf-8"?>
<ds:datastoreItem xmlns:ds="http://schemas.openxmlformats.org/officeDocument/2006/customXml" ds:itemID="{DF736ABA-638F-4D39-B91F-7759E076C9DA}">
  <ds:schemaRefs/>
</ds:datastoreItem>
</file>

<file path=customXml/itemProps3.xml><?xml version="1.0" encoding="utf-8"?>
<ds:datastoreItem xmlns:ds="http://schemas.openxmlformats.org/officeDocument/2006/customXml" ds:itemID="{DF703483-0FBF-4D3D-9909-AC0AC7607D2D}">
  <ds:schemaRefs/>
</ds:datastoreItem>
</file>

<file path=customXml/itemProps4.xml><?xml version="1.0" encoding="utf-8"?>
<ds:datastoreItem xmlns:ds="http://schemas.openxmlformats.org/officeDocument/2006/customXml" ds:itemID="{7C3A82E5-33CE-4809-B1C3-A7015AF713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4065</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2024-10-22T08:33:00Z</cp:lastPrinted>
  <dcterms:created xsi:type="dcterms:W3CDTF">2024-10-29T08:02:00Z</dcterms:created>
  <dcterms:modified xsi:type="dcterms:W3CDTF">2024-10-29T08:02:00Z</dcterms:modified>
</cp:coreProperties>
</file>